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0FA56" w14:textId="77777777" w:rsidR="00F67C38" w:rsidRDefault="002D065C" w:rsidP="00F67C38">
      <w:pPr>
        <w:rPr>
          <w:rFonts w:ascii="Arial" w:hAnsi="Arial" w:cs="Arial"/>
          <w:b/>
          <w:u w:val="single"/>
        </w:rPr>
      </w:pPr>
      <w:r w:rsidRPr="002D065C">
        <w:rPr>
          <w:rFonts w:ascii="Arial" w:hAnsi="Arial" w:cs="Arial"/>
          <w:b/>
          <w:u w:val="single"/>
        </w:rPr>
        <w:t>CENTER FOR INTEGRATED MANAGEMENT OF ANTIMICROBIAL RESISTANCE (CIMAR)</w:t>
      </w:r>
    </w:p>
    <w:p w14:paraId="2E3B80D9" w14:textId="77777777" w:rsidR="00A95641" w:rsidRDefault="00A95641" w:rsidP="00A95641">
      <w:pPr>
        <w:rPr>
          <w:rFonts w:ascii="Arial" w:hAnsi="Arial" w:cs="Arial"/>
        </w:rPr>
      </w:pPr>
      <w:r w:rsidRPr="00A95641">
        <w:rPr>
          <w:rFonts w:ascii="Arial" w:hAnsi="Arial" w:cs="Arial"/>
        </w:rPr>
        <w:t>The Tufts Center for Integrated Management of Antimicrobial Resistance (CIMAR) is a collaborative and cross-disciplinary initiative with a mission to deliver new and innovative solutions to combat AMR. Partnering Tufts Medical Center and Tufts University’s schools of Medicine, Veterinary Medicine, and Arts &amp; Sciences (as well as members from Engineering, Nutrition, and Drug Development) under a single umbrella, CIMAR is uniquely poised to le</w:t>
      </w:r>
      <w:bookmarkStart w:id="0" w:name="_GoBack"/>
      <w:bookmarkEnd w:id="0"/>
      <w:r w:rsidRPr="00A95641">
        <w:rPr>
          <w:rFonts w:ascii="Arial" w:hAnsi="Arial" w:cs="Arial"/>
        </w:rPr>
        <w:t xml:space="preserve">ad AMR research, drug discovery, patient care, and education. </w:t>
      </w:r>
    </w:p>
    <w:p w14:paraId="4C2EC0F2" w14:textId="2460BCE6" w:rsidR="00A95641" w:rsidRPr="00A95641" w:rsidRDefault="00A95641" w:rsidP="00A95641">
      <w:pPr>
        <w:rPr>
          <w:rFonts w:ascii="Arial" w:hAnsi="Arial" w:cs="Arial"/>
        </w:rPr>
      </w:pPr>
      <w:r w:rsidRPr="00A95641">
        <w:rPr>
          <w:rFonts w:ascii="Arial" w:hAnsi="Arial" w:cs="Arial"/>
        </w:rPr>
        <w:t>CIMAR believes that to effectively fight AMR, scientists must take a “One Health” approach to understanding disease transmission and the mechanisms by which we can stop it. One Health prioritizes the relationships among people, animals, the environment, and the foods we all consume as critical avenues by which drug-resistant microorganisms spread from one to another. Our team includes experts in fields critical to addressing AMR through One Health, including microbiology, infectious disease, veterinary medicine, engineering, epidemiology, global health, drug development, and policy.</w:t>
      </w:r>
    </w:p>
    <w:p w14:paraId="38ACEB9E" w14:textId="77777777" w:rsidR="00A95641" w:rsidRPr="00A95641" w:rsidRDefault="00A95641" w:rsidP="00A95641">
      <w:pPr>
        <w:rPr>
          <w:rFonts w:ascii="Arial" w:hAnsi="Arial" w:cs="Arial"/>
        </w:rPr>
      </w:pPr>
      <w:r w:rsidRPr="00A95641">
        <w:rPr>
          <w:rFonts w:ascii="Arial" w:hAnsi="Arial" w:cs="Arial"/>
        </w:rPr>
        <w:t>We believe that together we can preserve the effectiveness of existing antimicrobial drugs and establish a much-needed pipeline to develop new ones.</w:t>
      </w:r>
    </w:p>
    <w:p w14:paraId="5CD7CEDC" w14:textId="77777777" w:rsidR="00A95641" w:rsidRPr="00A95641" w:rsidRDefault="00A95641" w:rsidP="00A95641">
      <w:pPr>
        <w:rPr>
          <w:rFonts w:ascii="Arial" w:hAnsi="Arial" w:cs="Arial"/>
        </w:rPr>
      </w:pPr>
      <w:r w:rsidRPr="00A95641">
        <w:rPr>
          <w:rFonts w:ascii="Arial" w:hAnsi="Arial" w:cs="Arial"/>
        </w:rPr>
        <w:t>CIMAR is organized around four central research areas:</w:t>
      </w:r>
    </w:p>
    <w:p w14:paraId="5E27AC2E" w14:textId="0510028B" w:rsidR="00A95641" w:rsidRPr="00A95641" w:rsidRDefault="00A95641" w:rsidP="00A95641">
      <w:pPr>
        <w:pStyle w:val="ListParagraph"/>
        <w:numPr>
          <w:ilvl w:val="0"/>
          <w:numId w:val="3"/>
        </w:numPr>
        <w:rPr>
          <w:rFonts w:ascii="Arial" w:hAnsi="Arial" w:cs="Arial"/>
        </w:rPr>
      </w:pPr>
      <w:r w:rsidRPr="00A95641">
        <w:rPr>
          <w:rFonts w:ascii="Arial" w:hAnsi="Arial" w:cs="Arial"/>
        </w:rPr>
        <w:t>Multidrug Therapies</w:t>
      </w:r>
      <w:r w:rsidRPr="00A95641">
        <w:rPr>
          <w:rFonts w:ascii="Arial" w:hAnsi="Arial" w:cs="Arial"/>
        </w:rPr>
        <w:t xml:space="preserve">: </w:t>
      </w:r>
      <w:r w:rsidRPr="00A95641">
        <w:rPr>
          <w:rFonts w:ascii="Arial" w:hAnsi="Arial" w:cs="Arial"/>
        </w:rPr>
        <w:t>Using Combination Chemotherapies to Cure Otherwise Untreatable Infections</w:t>
      </w:r>
    </w:p>
    <w:p w14:paraId="33054DE2" w14:textId="697EB548" w:rsidR="00A95641" w:rsidRPr="00A95641" w:rsidRDefault="00A95641" w:rsidP="00A95641">
      <w:pPr>
        <w:pStyle w:val="ListParagraph"/>
        <w:numPr>
          <w:ilvl w:val="0"/>
          <w:numId w:val="3"/>
        </w:numPr>
        <w:rPr>
          <w:rFonts w:ascii="Arial" w:hAnsi="Arial" w:cs="Arial"/>
        </w:rPr>
      </w:pPr>
      <w:r w:rsidRPr="00A95641">
        <w:rPr>
          <w:rFonts w:ascii="Arial" w:hAnsi="Arial" w:cs="Arial"/>
        </w:rPr>
        <w:t>Surveillance</w:t>
      </w:r>
      <w:r w:rsidRPr="00A95641">
        <w:rPr>
          <w:rFonts w:ascii="Arial" w:hAnsi="Arial" w:cs="Arial"/>
        </w:rPr>
        <w:t xml:space="preserve">: </w:t>
      </w:r>
      <w:r w:rsidRPr="00A95641">
        <w:rPr>
          <w:rFonts w:ascii="Arial" w:hAnsi="Arial" w:cs="Arial"/>
        </w:rPr>
        <w:t>Predicting and Preventing Public Health Emergencies Using AMR Data from Our Environment, Communities, and Healthcare Settings</w:t>
      </w:r>
    </w:p>
    <w:p w14:paraId="2A42804A" w14:textId="4D8D384C" w:rsidR="00A95641" w:rsidRPr="00A95641" w:rsidRDefault="00A95641" w:rsidP="00A95641">
      <w:pPr>
        <w:pStyle w:val="ListParagraph"/>
        <w:numPr>
          <w:ilvl w:val="0"/>
          <w:numId w:val="3"/>
        </w:numPr>
        <w:rPr>
          <w:rFonts w:ascii="Arial" w:hAnsi="Arial" w:cs="Arial"/>
        </w:rPr>
      </w:pPr>
      <w:r w:rsidRPr="00A95641">
        <w:rPr>
          <w:rFonts w:ascii="Arial" w:hAnsi="Arial" w:cs="Arial"/>
        </w:rPr>
        <w:t>Stewardship</w:t>
      </w:r>
      <w:r w:rsidRPr="00A95641">
        <w:rPr>
          <w:rFonts w:ascii="Arial" w:hAnsi="Arial" w:cs="Arial"/>
        </w:rPr>
        <w:t xml:space="preserve">: </w:t>
      </w:r>
      <w:r w:rsidRPr="00A95641">
        <w:rPr>
          <w:rFonts w:ascii="Arial" w:hAnsi="Arial" w:cs="Arial"/>
        </w:rPr>
        <w:t>Optimizing the Use of Antimicrobials in Humans, Animals, and the Environment</w:t>
      </w:r>
    </w:p>
    <w:p w14:paraId="5453565F" w14:textId="4B2FBAED" w:rsidR="00A95641" w:rsidRPr="00A95641" w:rsidRDefault="00A95641" w:rsidP="00A95641">
      <w:pPr>
        <w:pStyle w:val="ListParagraph"/>
        <w:numPr>
          <w:ilvl w:val="0"/>
          <w:numId w:val="3"/>
        </w:numPr>
        <w:rPr>
          <w:rFonts w:ascii="Arial" w:hAnsi="Arial" w:cs="Arial"/>
        </w:rPr>
      </w:pPr>
      <w:r w:rsidRPr="00A95641">
        <w:rPr>
          <w:rFonts w:ascii="Arial" w:hAnsi="Arial" w:cs="Arial"/>
        </w:rPr>
        <w:t>Education</w:t>
      </w:r>
      <w:r w:rsidRPr="00A95641">
        <w:rPr>
          <w:rFonts w:ascii="Arial" w:hAnsi="Arial" w:cs="Arial"/>
        </w:rPr>
        <w:t xml:space="preserve">: </w:t>
      </w:r>
      <w:r w:rsidRPr="00A95641">
        <w:rPr>
          <w:rFonts w:ascii="Arial" w:hAnsi="Arial" w:cs="Arial"/>
        </w:rPr>
        <w:t>Raising AMR Awareness Through Academics and Community Outreach</w:t>
      </w:r>
    </w:p>
    <w:p w14:paraId="5F37D15B" w14:textId="77777777" w:rsidR="000E2965" w:rsidRPr="00A95641" w:rsidRDefault="002D065C" w:rsidP="00F67C38">
      <w:pPr>
        <w:rPr>
          <w:rFonts w:ascii="Arial" w:hAnsi="Arial" w:cs="Arial"/>
          <w:b/>
        </w:rPr>
      </w:pPr>
      <w:r w:rsidRPr="00A95641">
        <w:rPr>
          <w:rFonts w:ascii="Arial" w:hAnsi="Arial" w:cs="Arial"/>
          <w:b/>
        </w:rPr>
        <w:t xml:space="preserve">Leadership: </w:t>
      </w:r>
    </w:p>
    <w:p w14:paraId="3C2F14DE" w14:textId="77777777" w:rsidR="00A95641" w:rsidRPr="00A95641" w:rsidRDefault="00A95641" w:rsidP="00A95641">
      <w:pPr>
        <w:spacing w:after="0"/>
        <w:rPr>
          <w:rFonts w:ascii="Arial" w:hAnsi="Arial" w:cs="Arial"/>
          <w:b/>
          <w:bCs/>
        </w:rPr>
      </w:pPr>
      <w:r w:rsidRPr="00A95641">
        <w:rPr>
          <w:rFonts w:ascii="Arial" w:hAnsi="Arial" w:cs="Arial"/>
          <w:b/>
          <w:bCs/>
        </w:rPr>
        <w:t xml:space="preserve">Helen Boucher, MD, FACP, FIDSA – Director – </w:t>
      </w:r>
      <w:proofErr w:type="spellStart"/>
      <w:r w:rsidRPr="00A95641">
        <w:rPr>
          <w:rFonts w:ascii="Arial" w:hAnsi="Arial" w:cs="Arial"/>
          <w:b/>
          <w:bCs/>
        </w:rPr>
        <w:t>hboucher@tuftsmedicalcenterorg</w:t>
      </w:r>
      <w:proofErr w:type="spellEnd"/>
      <w:r w:rsidRPr="00A95641">
        <w:rPr>
          <w:rFonts w:ascii="Arial" w:hAnsi="Arial" w:cs="Arial"/>
          <w:b/>
          <w:bCs/>
        </w:rPr>
        <w:t xml:space="preserve"> </w:t>
      </w:r>
    </w:p>
    <w:p w14:paraId="75405380" w14:textId="77777777" w:rsidR="00A95641" w:rsidRPr="00A95641" w:rsidRDefault="00A95641" w:rsidP="00A95641">
      <w:pPr>
        <w:spacing w:after="0"/>
        <w:rPr>
          <w:rFonts w:ascii="Arial" w:hAnsi="Arial" w:cs="Arial"/>
        </w:rPr>
      </w:pPr>
      <w:r w:rsidRPr="00A95641">
        <w:rPr>
          <w:rFonts w:ascii="Arial" w:hAnsi="Arial" w:cs="Arial"/>
        </w:rPr>
        <w:t>Dr. Boucher is an internationally recognized leader in antimicrobial drug development, with expertise in study design and antimicrobial stewardship. She is a member of the Presidential Advisory Council on Combating Antibiotic-Resistant Bacteria, and Treasurer of the Infectious Diseases Society of America. Dr. Boucher is Chief of the Division of Geographic Medicine and Infectious Diseases at Tufts Medical Center, as well as Director of TMC’s Heart Transplant and Ventricular Assist Device Infectious Diseases Program.</w:t>
      </w:r>
    </w:p>
    <w:p w14:paraId="3FD040F3" w14:textId="77777777" w:rsidR="00A95641" w:rsidRPr="00A95641" w:rsidRDefault="00A95641" w:rsidP="00A95641">
      <w:pPr>
        <w:spacing w:after="0"/>
        <w:rPr>
          <w:rFonts w:ascii="Arial" w:hAnsi="Arial" w:cs="Arial"/>
          <w:b/>
          <w:bCs/>
        </w:rPr>
      </w:pPr>
    </w:p>
    <w:p w14:paraId="33587009" w14:textId="77777777" w:rsidR="00A95641" w:rsidRPr="00A95641" w:rsidRDefault="00A95641" w:rsidP="00A95641">
      <w:pPr>
        <w:spacing w:after="0"/>
        <w:rPr>
          <w:rFonts w:ascii="Arial" w:hAnsi="Arial" w:cs="Arial"/>
          <w:b/>
          <w:bCs/>
        </w:rPr>
      </w:pPr>
      <w:r w:rsidRPr="00A95641">
        <w:rPr>
          <w:rFonts w:ascii="Arial" w:hAnsi="Arial" w:cs="Arial"/>
          <w:b/>
          <w:bCs/>
        </w:rPr>
        <w:t xml:space="preserve">Ralph </w:t>
      </w:r>
      <w:proofErr w:type="spellStart"/>
      <w:r w:rsidRPr="00A95641">
        <w:rPr>
          <w:rFonts w:ascii="Arial" w:hAnsi="Arial" w:cs="Arial"/>
          <w:b/>
          <w:bCs/>
        </w:rPr>
        <w:t>Isberg</w:t>
      </w:r>
      <w:proofErr w:type="spellEnd"/>
      <w:r w:rsidRPr="00A95641">
        <w:rPr>
          <w:rFonts w:ascii="Arial" w:hAnsi="Arial" w:cs="Arial"/>
          <w:b/>
          <w:bCs/>
        </w:rPr>
        <w:t>, PhD – Director – ralph.isberg@tufts.edu</w:t>
      </w:r>
    </w:p>
    <w:p w14:paraId="62CEE73A" w14:textId="77777777" w:rsidR="00A95641" w:rsidRPr="00A95641" w:rsidRDefault="00A95641" w:rsidP="00A95641">
      <w:pPr>
        <w:spacing w:after="0"/>
        <w:rPr>
          <w:rFonts w:ascii="Arial" w:hAnsi="Arial" w:cs="Arial"/>
        </w:rPr>
      </w:pPr>
      <w:r w:rsidRPr="00A95641">
        <w:rPr>
          <w:rFonts w:ascii="Arial" w:hAnsi="Arial" w:cs="Arial"/>
        </w:rPr>
        <w:t xml:space="preserve">Dr. </w:t>
      </w:r>
      <w:proofErr w:type="spellStart"/>
      <w:r w:rsidRPr="00A95641">
        <w:rPr>
          <w:rFonts w:ascii="Arial" w:hAnsi="Arial" w:cs="Arial"/>
        </w:rPr>
        <w:t>Isberg</w:t>
      </w:r>
      <w:proofErr w:type="spellEnd"/>
      <w:r w:rsidRPr="00A95641">
        <w:rPr>
          <w:rFonts w:ascii="Arial" w:hAnsi="Arial" w:cs="Arial"/>
        </w:rPr>
        <w:t xml:space="preserve"> has been an acknowledged leader in the field of bacterial pathogenesis for over 30 years, with particular emphasis on pneumonic and diarrheal diseases.  He has a major interest in identifying strategies for eliminating drug resistance in nosocomial pathogens, focusing on </w:t>
      </w:r>
      <w:r w:rsidRPr="00A95641">
        <w:rPr>
          <w:rFonts w:ascii="Arial" w:hAnsi="Arial" w:cs="Arial"/>
          <w:i/>
          <w:iCs/>
        </w:rPr>
        <w:t xml:space="preserve">Acinetobacter </w:t>
      </w:r>
      <w:proofErr w:type="spellStart"/>
      <w:r w:rsidRPr="00A95641">
        <w:rPr>
          <w:rFonts w:ascii="Arial" w:hAnsi="Arial" w:cs="Arial"/>
          <w:i/>
          <w:iCs/>
        </w:rPr>
        <w:t>baumannii</w:t>
      </w:r>
      <w:proofErr w:type="spellEnd"/>
      <w:r w:rsidRPr="00A95641">
        <w:rPr>
          <w:rFonts w:ascii="Arial" w:hAnsi="Arial" w:cs="Arial"/>
        </w:rPr>
        <w:t>.  Among his awards was election to the National Academy of Sciences in 2009.</w:t>
      </w:r>
    </w:p>
    <w:p w14:paraId="368993BB" w14:textId="77777777" w:rsidR="00A95641" w:rsidRPr="00A95641" w:rsidRDefault="00A95641" w:rsidP="00A95641">
      <w:pPr>
        <w:spacing w:after="0"/>
        <w:rPr>
          <w:rFonts w:ascii="Arial" w:hAnsi="Arial" w:cs="Arial"/>
          <w:b/>
          <w:bCs/>
        </w:rPr>
      </w:pPr>
      <w:r w:rsidRPr="00A95641">
        <w:rPr>
          <w:rFonts w:ascii="Arial" w:hAnsi="Arial" w:cs="Arial"/>
        </w:rPr>
        <w:br/>
      </w:r>
      <w:r w:rsidRPr="00A95641">
        <w:rPr>
          <w:rFonts w:ascii="Arial" w:hAnsi="Arial" w:cs="Arial"/>
          <w:b/>
          <w:bCs/>
        </w:rPr>
        <w:t>John Leong, MD, PhD – john.leong@tufts.edu</w:t>
      </w:r>
    </w:p>
    <w:p w14:paraId="56F549D8" w14:textId="77777777" w:rsidR="00A95641" w:rsidRPr="00A95641" w:rsidRDefault="00A95641" w:rsidP="00A95641">
      <w:pPr>
        <w:spacing w:after="0"/>
        <w:rPr>
          <w:rFonts w:ascii="Arial" w:hAnsi="Arial" w:cs="Arial"/>
        </w:rPr>
      </w:pPr>
      <w:r w:rsidRPr="00A95641">
        <w:rPr>
          <w:rFonts w:ascii="Arial" w:hAnsi="Arial" w:cs="Arial"/>
        </w:rPr>
        <w:t xml:space="preserve">Dr. Leong is Edith </w:t>
      </w:r>
      <w:proofErr w:type="spellStart"/>
      <w:r w:rsidRPr="00A95641">
        <w:rPr>
          <w:rFonts w:ascii="Arial" w:hAnsi="Arial" w:cs="Arial"/>
        </w:rPr>
        <w:t>Rieva</w:t>
      </w:r>
      <w:proofErr w:type="spellEnd"/>
      <w:r w:rsidRPr="00A95641">
        <w:rPr>
          <w:rFonts w:ascii="Arial" w:hAnsi="Arial" w:cs="Arial"/>
        </w:rPr>
        <w:t xml:space="preserve"> and Hyman S. Trilling Professor and Chair of the Department of Molecular Biology and Microbiology at Tufts University School of Medicine. His research focuses on the interaction of pathogenic </w:t>
      </w:r>
      <w:r w:rsidRPr="00A95641">
        <w:rPr>
          <w:rFonts w:ascii="Arial" w:hAnsi="Arial" w:cs="Arial"/>
          <w:i/>
          <w:iCs/>
        </w:rPr>
        <w:t>Escherichia coli</w:t>
      </w:r>
      <w:r w:rsidRPr="00A95641">
        <w:rPr>
          <w:rFonts w:ascii="Arial" w:hAnsi="Arial" w:cs="Arial"/>
        </w:rPr>
        <w:t>, </w:t>
      </w:r>
      <w:r w:rsidRPr="00A95641">
        <w:rPr>
          <w:rFonts w:ascii="Arial" w:hAnsi="Arial" w:cs="Arial"/>
          <w:i/>
          <w:iCs/>
        </w:rPr>
        <w:t>Borrelia burgdorferi</w:t>
      </w:r>
      <w:r w:rsidRPr="00A95641">
        <w:rPr>
          <w:rFonts w:ascii="Arial" w:hAnsi="Arial" w:cs="Arial"/>
        </w:rPr>
        <w:t> (the Lyme disease spirochete) and </w:t>
      </w:r>
      <w:r w:rsidRPr="00A95641">
        <w:rPr>
          <w:rFonts w:ascii="Arial" w:hAnsi="Arial" w:cs="Arial"/>
          <w:i/>
          <w:iCs/>
        </w:rPr>
        <w:t>Streptococcus pneumoniae</w:t>
      </w:r>
      <w:r w:rsidRPr="00A95641">
        <w:rPr>
          <w:rFonts w:ascii="Arial" w:hAnsi="Arial" w:cs="Arial"/>
        </w:rPr>
        <w:t> with host immune and epithelial cells in order to understand the infectious process and develop novel therapies to prevent or treat these infections.</w:t>
      </w:r>
    </w:p>
    <w:p w14:paraId="1B1EC64D" w14:textId="77777777" w:rsidR="00A95641" w:rsidRPr="00A95641" w:rsidRDefault="00A95641" w:rsidP="00A95641">
      <w:pPr>
        <w:spacing w:after="0"/>
        <w:rPr>
          <w:rFonts w:ascii="Arial" w:hAnsi="Arial" w:cs="Arial"/>
        </w:rPr>
      </w:pPr>
    </w:p>
    <w:p w14:paraId="06AA41DB" w14:textId="77777777" w:rsidR="00A95641" w:rsidRPr="00A95641" w:rsidRDefault="00A95641" w:rsidP="00A95641">
      <w:pPr>
        <w:spacing w:after="0"/>
        <w:rPr>
          <w:rFonts w:ascii="Arial" w:hAnsi="Arial" w:cs="Arial"/>
          <w:b/>
          <w:bCs/>
        </w:rPr>
      </w:pPr>
      <w:r w:rsidRPr="00A95641">
        <w:rPr>
          <w:rFonts w:ascii="Arial" w:hAnsi="Arial" w:cs="Arial"/>
          <w:b/>
          <w:bCs/>
        </w:rPr>
        <w:t xml:space="preserve">David R. </w:t>
      </w:r>
      <w:proofErr w:type="spellStart"/>
      <w:r w:rsidRPr="00A95641">
        <w:rPr>
          <w:rFonts w:ascii="Arial" w:hAnsi="Arial" w:cs="Arial"/>
          <w:b/>
          <w:bCs/>
        </w:rPr>
        <w:t>Snydman</w:t>
      </w:r>
      <w:proofErr w:type="spellEnd"/>
      <w:r w:rsidRPr="00A95641">
        <w:rPr>
          <w:rFonts w:ascii="Arial" w:hAnsi="Arial" w:cs="Arial"/>
          <w:b/>
          <w:bCs/>
        </w:rPr>
        <w:t>, MD, FACP, FIDSA, FAST – dsnydman@tuftsmedicalcenter.org</w:t>
      </w:r>
    </w:p>
    <w:p w14:paraId="4CAD25C8" w14:textId="77777777" w:rsidR="00A95641" w:rsidRPr="00A95641" w:rsidRDefault="00A95641" w:rsidP="00A95641">
      <w:pPr>
        <w:spacing w:after="0"/>
        <w:rPr>
          <w:rFonts w:ascii="Arial" w:hAnsi="Arial" w:cs="Arial"/>
        </w:rPr>
      </w:pPr>
      <w:r w:rsidRPr="00A95641">
        <w:rPr>
          <w:rFonts w:ascii="Arial" w:hAnsi="Arial" w:cs="Arial"/>
        </w:rPr>
        <w:t xml:space="preserve">Dr. </w:t>
      </w:r>
      <w:proofErr w:type="spellStart"/>
      <w:r w:rsidRPr="00A95641">
        <w:rPr>
          <w:rFonts w:ascii="Arial" w:hAnsi="Arial" w:cs="Arial"/>
        </w:rPr>
        <w:t>Snydman</w:t>
      </w:r>
      <w:proofErr w:type="spellEnd"/>
      <w:r w:rsidRPr="00A95641">
        <w:rPr>
          <w:rFonts w:ascii="Arial" w:hAnsi="Arial" w:cs="Arial"/>
        </w:rPr>
        <w:t xml:space="preserve"> has 35 years of experience in observational and interventional studies in translational research, including trials that resulted in FDA licensure of a biologic product. He has worked on epidemiologic aspects of </w:t>
      </w:r>
      <w:r w:rsidRPr="00A95641">
        <w:rPr>
          <w:rFonts w:ascii="Arial" w:hAnsi="Arial" w:cs="Arial"/>
        </w:rPr>
        <w:lastRenderedPageBreak/>
        <w:t>antibiotic resistance for decades, focusing on hospital-acquired infections, anaerobes, </w:t>
      </w:r>
      <w:r w:rsidRPr="00A95641">
        <w:rPr>
          <w:rFonts w:ascii="Arial" w:hAnsi="Arial" w:cs="Arial"/>
          <w:i/>
          <w:iCs/>
        </w:rPr>
        <w:t>C difficile</w:t>
      </w:r>
      <w:r w:rsidRPr="00A95641">
        <w:rPr>
          <w:rFonts w:ascii="Arial" w:hAnsi="Arial" w:cs="Arial"/>
        </w:rPr>
        <w:t>, and MRSA. His current research is focused on the transmission of antibiotic resistance and </w:t>
      </w:r>
      <w:r w:rsidRPr="00A95641">
        <w:rPr>
          <w:rFonts w:ascii="Arial" w:hAnsi="Arial" w:cs="Arial"/>
          <w:i/>
          <w:iCs/>
        </w:rPr>
        <w:t>C. difficile</w:t>
      </w:r>
      <w:r w:rsidRPr="00A95641">
        <w:rPr>
          <w:rFonts w:ascii="Arial" w:hAnsi="Arial" w:cs="Arial"/>
        </w:rPr>
        <w:t xml:space="preserve"> among nursing home patients and in health systems, as well as the impact of antimicrobial stewardship. Dr. </w:t>
      </w:r>
      <w:proofErr w:type="spellStart"/>
      <w:r w:rsidRPr="00A95641">
        <w:rPr>
          <w:rFonts w:ascii="Arial" w:hAnsi="Arial" w:cs="Arial"/>
        </w:rPr>
        <w:t>Snydman</w:t>
      </w:r>
      <w:proofErr w:type="spellEnd"/>
      <w:r w:rsidRPr="00A95641">
        <w:rPr>
          <w:rFonts w:ascii="Arial" w:hAnsi="Arial" w:cs="Arial"/>
        </w:rPr>
        <w:t xml:space="preserve"> is Vice Chair for Research in the Department of Medicine and Emeritus Chief of the Division of Geographic Medicine and Infectious Disease at Tufts Medical Center.</w:t>
      </w:r>
    </w:p>
    <w:p w14:paraId="79D9A71C" w14:textId="68F5E3BF" w:rsidR="000E2965" w:rsidRPr="000E2965" w:rsidRDefault="000E2965" w:rsidP="00A95641">
      <w:pPr>
        <w:spacing w:after="0"/>
        <w:rPr>
          <w:rFonts w:ascii="Arial" w:hAnsi="Arial" w:cs="Arial"/>
        </w:rPr>
      </w:pPr>
    </w:p>
    <w:sectPr w:rsidR="000E2965" w:rsidRPr="000E2965" w:rsidSect="00F67C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C720B"/>
    <w:multiLevelType w:val="hybridMultilevel"/>
    <w:tmpl w:val="C4AC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D554E"/>
    <w:multiLevelType w:val="hybridMultilevel"/>
    <w:tmpl w:val="D144A0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D3908"/>
    <w:multiLevelType w:val="hybridMultilevel"/>
    <w:tmpl w:val="D2E4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38"/>
    <w:rsid w:val="000E2965"/>
    <w:rsid w:val="001C5AB7"/>
    <w:rsid w:val="002D065C"/>
    <w:rsid w:val="00A95641"/>
    <w:rsid w:val="00AD16E7"/>
    <w:rsid w:val="00B50478"/>
    <w:rsid w:val="00E33308"/>
    <w:rsid w:val="00F6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2668"/>
  <w15:docId w15:val="{9737A1DE-6A76-48EA-8A0A-EB251918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56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0478"/>
    <w:rPr>
      <w:sz w:val="16"/>
      <w:szCs w:val="16"/>
    </w:rPr>
  </w:style>
  <w:style w:type="paragraph" w:styleId="CommentText">
    <w:name w:val="annotation text"/>
    <w:basedOn w:val="Normal"/>
    <w:link w:val="CommentTextChar"/>
    <w:uiPriority w:val="99"/>
    <w:semiHidden/>
    <w:unhideWhenUsed/>
    <w:rsid w:val="00B50478"/>
    <w:pPr>
      <w:spacing w:line="240" w:lineRule="auto"/>
    </w:pPr>
    <w:rPr>
      <w:sz w:val="20"/>
      <w:szCs w:val="20"/>
    </w:rPr>
  </w:style>
  <w:style w:type="character" w:customStyle="1" w:styleId="CommentTextChar">
    <w:name w:val="Comment Text Char"/>
    <w:basedOn w:val="DefaultParagraphFont"/>
    <w:link w:val="CommentText"/>
    <w:uiPriority w:val="99"/>
    <w:semiHidden/>
    <w:rsid w:val="00B50478"/>
    <w:rPr>
      <w:sz w:val="20"/>
      <w:szCs w:val="20"/>
    </w:rPr>
  </w:style>
  <w:style w:type="paragraph" w:styleId="CommentSubject">
    <w:name w:val="annotation subject"/>
    <w:basedOn w:val="CommentText"/>
    <w:next w:val="CommentText"/>
    <w:link w:val="CommentSubjectChar"/>
    <w:uiPriority w:val="99"/>
    <w:semiHidden/>
    <w:unhideWhenUsed/>
    <w:rsid w:val="00B50478"/>
    <w:rPr>
      <w:b/>
      <w:bCs/>
    </w:rPr>
  </w:style>
  <w:style w:type="character" w:customStyle="1" w:styleId="CommentSubjectChar">
    <w:name w:val="Comment Subject Char"/>
    <w:basedOn w:val="CommentTextChar"/>
    <w:link w:val="CommentSubject"/>
    <w:uiPriority w:val="99"/>
    <w:semiHidden/>
    <w:rsid w:val="00B50478"/>
    <w:rPr>
      <w:b/>
      <w:bCs/>
      <w:sz w:val="20"/>
      <w:szCs w:val="20"/>
    </w:rPr>
  </w:style>
  <w:style w:type="paragraph" w:styleId="BalloonText">
    <w:name w:val="Balloon Text"/>
    <w:basedOn w:val="Normal"/>
    <w:link w:val="BalloonTextChar"/>
    <w:uiPriority w:val="99"/>
    <w:semiHidden/>
    <w:unhideWhenUsed/>
    <w:rsid w:val="00B5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78"/>
    <w:rPr>
      <w:rFonts w:ascii="Segoe UI" w:hAnsi="Segoe UI" w:cs="Segoe UI"/>
      <w:sz w:val="18"/>
      <w:szCs w:val="18"/>
    </w:rPr>
  </w:style>
  <w:style w:type="character" w:styleId="Hyperlink">
    <w:name w:val="Hyperlink"/>
    <w:basedOn w:val="DefaultParagraphFont"/>
    <w:uiPriority w:val="99"/>
    <w:unhideWhenUsed/>
    <w:rsid w:val="00A95641"/>
    <w:rPr>
      <w:color w:val="0000FF" w:themeColor="hyperlink"/>
      <w:u w:val="single"/>
    </w:rPr>
  </w:style>
  <w:style w:type="character" w:styleId="UnresolvedMention">
    <w:name w:val="Unresolved Mention"/>
    <w:basedOn w:val="DefaultParagraphFont"/>
    <w:uiPriority w:val="99"/>
    <w:semiHidden/>
    <w:unhideWhenUsed/>
    <w:rsid w:val="00A95641"/>
    <w:rPr>
      <w:color w:val="605E5C"/>
      <w:shd w:val="clear" w:color="auto" w:fill="E1DFDD"/>
    </w:rPr>
  </w:style>
  <w:style w:type="character" w:customStyle="1" w:styleId="Heading3Char">
    <w:name w:val="Heading 3 Char"/>
    <w:basedOn w:val="DefaultParagraphFont"/>
    <w:link w:val="Heading3"/>
    <w:uiPriority w:val="9"/>
    <w:semiHidden/>
    <w:rsid w:val="00A9564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A9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42162">
      <w:bodyDiv w:val="1"/>
      <w:marLeft w:val="0"/>
      <w:marRight w:val="0"/>
      <w:marTop w:val="0"/>
      <w:marBottom w:val="0"/>
      <w:divBdr>
        <w:top w:val="none" w:sz="0" w:space="0" w:color="auto"/>
        <w:left w:val="none" w:sz="0" w:space="0" w:color="auto"/>
        <w:bottom w:val="none" w:sz="0" w:space="0" w:color="auto"/>
        <w:right w:val="none" w:sz="0" w:space="0" w:color="auto"/>
      </w:divBdr>
      <w:divsChild>
        <w:div w:id="615673108">
          <w:marLeft w:val="-225"/>
          <w:marRight w:val="-225"/>
          <w:marTop w:val="0"/>
          <w:marBottom w:val="0"/>
          <w:divBdr>
            <w:top w:val="none" w:sz="0" w:space="0" w:color="auto"/>
            <w:left w:val="none" w:sz="0" w:space="0" w:color="auto"/>
            <w:bottom w:val="none" w:sz="0" w:space="0" w:color="auto"/>
            <w:right w:val="none" w:sz="0" w:space="0" w:color="auto"/>
          </w:divBdr>
          <w:divsChild>
            <w:div w:id="1624574357">
              <w:marLeft w:val="0"/>
              <w:marRight w:val="0"/>
              <w:marTop w:val="0"/>
              <w:marBottom w:val="0"/>
              <w:divBdr>
                <w:top w:val="none" w:sz="0" w:space="0" w:color="auto"/>
                <w:left w:val="none" w:sz="0" w:space="0" w:color="auto"/>
                <w:bottom w:val="none" w:sz="0" w:space="0" w:color="auto"/>
                <w:right w:val="none" w:sz="0" w:space="0" w:color="auto"/>
              </w:divBdr>
              <w:divsChild>
                <w:div w:id="411783923">
                  <w:marLeft w:val="0"/>
                  <w:marRight w:val="0"/>
                  <w:marTop w:val="0"/>
                  <w:marBottom w:val="0"/>
                  <w:divBdr>
                    <w:top w:val="none" w:sz="0" w:space="0" w:color="auto"/>
                    <w:left w:val="none" w:sz="0" w:space="0" w:color="auto"/>
                    <w:bottom w:val="none" w:sz="0" w:space="0" w:color="auto"/>
                    <w:right w:val="none" w:sz="0" w:space="0" w:color="auto"/>
                  </w:divBdr>
                  <w:divsChild>
                    <w:div w:id="1076174490">
                      <w:marLeft w:val="0"/>
                      <w:marRight w:val="0"/>
                      <w:marTop w:val="0"/>
                      <w:marBottom w:val="0"/>
                      <w:divBdr>
                        <w:top w:val="none" w:sz="0" w:space="0" w:color="auto"/>
                        <w:left w:val="none" w:sz="0" w:space="0" w:color="auto"/>
                        <w:bottom w:val="none" w:sz="0" w:space="0" w:color="auto"/>
                        <w:right w:val="none" w:sz="0" w:space="0" w:color="auto"/>
                      </w:divBdr>
                      <w:divsChild>
                        <w:div w:id="1759717844">
                          <w:marLeft w:val="0"/>
                          <w:marRight w:val="0"/>
                          <w:marTop w:val="0"/>
                          <w:marBottom w:val="525"/>
                          <w:divBdr>
                            <w:top w:val="none" w:sz="0" w:space="0" w:color="auto"/>
                            <w:left w:val="none" w:sz="0" w:space="0" w:color="auto"/>
                            <w:bottom w:val="none" w:sz="0" w:space="0" w:color="auto"/>
                            <w:right w:val="none" w:sz="0" w:space="0" w:color="auto"/>
                          </w:divBdr>
                          <w:divsChild>
                            <w:div w:id="10839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60250">
          <w:marLeft w:val="-225"/>
          <w:marRight w:val="-225"/>
          <w:marTop w:val="0"/>
          <w:marBottom w:val="0"/>
          <w:divBdr>
            <w:top w:val="none" w:sz="0" w:space="0" w:color="auto"/>
            <w:left w:val="none" w:sz="0" w:space="0" w:color="auto"/>
            <w:bottom w:val="none" w:sz="0" w:space="0" w:color="auto"/>
            <w:right w:val="none" w:sz="0" w:space="0" w:color="auto"/>
          </w:divBdr>
          <w:divsChild>
            <w:div w:id="1738894471">
              <w:marLeft w:val="0"/>
              <w:marRight w:val="0"/>
              <w:marTop w:val="0"/>
              <w:marBottom w:val="0"/>
              <w:divBdr>
                <w:top w:val="none" w:sz="0" w:space="0" w:color="auto"/>
                <w:left w:val="none" w:sz="0" w:space="0" w:color="auto"/>
                <w:bottom w:val="none" w:sz="0" w:space="0" w:color="auto"/>
                <w:right w:val="none" w:sz="0" w:space="0" w:color="auto"/>
              </w:divBdr>
              <w:divsChild>
                <w:div w:id="1606621141">
                  <w:marLeft w:val="0"/>
                  <w:marRight w:val="0"/>
                  <w:marTop w:val="0"/>
                  <w:marBottom w:val="0"/>
                  <w:divBdr>
                    <w:top w:val="none" w:sz="0" w:space="0" w:color="auto"/>
                    <w:left w:val="none" w:sz="0" w:space="0" w:color="auto"/>
                    <w:bottom w:val="none" w:sz="0" w:space="0" w:color="auto"/>
                    <w:right w:val="none" w:sz="0" w:space="0" w:color="auto"/>
                  </w:divBdr>
                  <w:divsChild>
                    <w:div w:id="9748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6737">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518302626">
      <w:bodyDiv w:val="1"/>
      <w:marLeft w:val="0"/>
      <w:marRight w:val="0"/>
      <w:marTop w:val="0"/>
      <w:marBottom w:val="0"/>
      <w:divBdr>
        <w:top w:val="none" w:sz="0" w:space="0" w:color="auto"/>
        <w:left w:val="none" w:sz="0" w:space="0" w:color="auto"/>
        <w:bottom w:val="none" w:sz="0" w:space="0" w:color="auto"/>
        <w:right w:val="none" w:sz="0" w:space="0" w:color="auto"/>
      </w:divBdr>
    </w:div>
    <w:div w:id="15568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 Medical Center</dc:creator>
  <cp:lastModifiedBy>Mycynek, Rima Chaddha</cp:lastModifiedBy>
  <cp:revision>3</cp:revision>
  <dcterms:created xsi:type="dcterms:W3CDTF">2019-11-25T15:10:00Z</dcterms:created>
  <dcterms:modified xsi:type="dcterms:W3CDTF">2019-11-25T15:21:00Z</dcterms:modified>
</cp:coreProperties>
</file>